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W w:w="5000" w:type="pct"/>
        <w:jc w:val="center"/>
        <w:tblCellSpacing w:w="15" w:type="dxa"/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9274"/>
      </w:tblGrid>
      <w:tr>
        <w:trPr>
          <w:tblCellSpacing w:w="15" w:type="dxa"/>
          <w:jc w:val="center"/>
        </w:trPr>
        <w:tc>
          <w:tcPr>
            <w:tcW w:w="496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bookmarkStart w:id="0" w:name="OLE_LINK1"/>
            <w:bookmarkStart w:id="4" w:name="_GoBack"/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丰华园项目（郑州市二七区侯寨老镇区城中村改造项目</w:t>
            </w:r>
          </w:p>
          <w:p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16-029-K01-01地块）供热工程中标候选人公示</w:t>
            </w:r>
            <w:bookmarkEnd w:id="4"/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ind w:firstLine="420" w:firstLineChars="200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本项目丰华园项目（郑州市二七区侯寨老镇区城中村改造项目16-029-K01-01地块）供热工程（标段编号：26-GCZN-024601）于2026年11月05日在郑州市公共资源交易中心进行开标（评标），经评标委员会评审，现将该项目的中标候选人（评标结果）情况公示如下： 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一、中标候选人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 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1.1 中标候选人排序基本情况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Style w:val="13"/>
              <w:tblW w:w="5000" w:type="pct"/>
              <w:tblCellSpacing w:w="0" w:type="dxa"/>
              <w:tblInd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25"/>
              <w:gridCol w:w="1944"/>
              <w:gridCol w:w="1456"/>
              <w:gridCol w:w="728"/>
              <w:gridCol w:w="3127"/>
              <w:gridCol w:w="1489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32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排序</w:t>
                  </w:r>
                </w:p>
              </w:tc>
              <w:tc>
                <w:tcPr>
                  <w:tcW w:w="10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中标候选人名称</w:t>
                  </w:r>
                </w:p>
              </w:tc>
              <w:tc>
                <w:tcPr>
                  <w:tcW w:w="79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投标报价（元）</w:t>
                  </w:r>
                </w:p>
              </w:tc>
              <w:tc>
                <w:tcPr>
                  <w:tcW w:w="39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项目</w:t>
                  </w:r>
                </w:p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经理</w:t>
                  </w:r>
                </w:p>
              </w:tc>
              <w:tc>
                <w:tcPr>
                  <w:tcW w:w="1705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质量</w:t>
                  </w:r>
                </w:p>
              </w:tc>
              <w:tc>
                <w:tcPr>
                  <w:tcW w:w="812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工期</w:t>
                  </w:r>
                </w:p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（日历天）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32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10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河南天弘建设集团有限公司</w:t>
                  </w:r>
                </w:p>
              </w:tc>
              <w:tc>
                <w:tcPr>
                  <w:tcW w:w="79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11441311.12</w:t>
                  </w:r>
                </w:p>
              </w:tc>
              <w:tc>
                <w:tcPr>
                  <w:tcW w:w="39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张博</w:t>
                  </w:r>
                </w:p>
              </w:tc>
              <w:tc>
                <w:tcPr>
                  <w:tcW w:w="1705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合格，达到热力公司验收标准及国家相关规范标准。</w:t>
                  </w:r>
                </w:p>
              </w:tc>
              <w:tc>
                <w:tcPr>
                  <w:tcW w:w="812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120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32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10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河南万佳建设工程有限公司</w:t>
                  </w:r>
                </w:p>
              </w:tc>
              <w:tc>
                <w:tcPr>
                  <w:tcW w:w="79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11356137.26</w:t>
                  </w:r>
                </w:p>
              </w:tc>
              <w:tc>
                <w:tcPr>
                  <w:tcW w:w="39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朱永顺</w:t>
                  </w:r>
                </w:p>
              </w:tc>
              <w:tc>
                <w:tcPr>
                  <w:tcW w:w="1705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合格，达到热力公司验收标准及国家相关规范标准。</w:t>
                  </w:r>
                </w:p>
              </w:tc>
              <w:tc>
                <w:tcPr>
                  <w:tcW w:w="812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120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32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3</w:t>
                  </w:r>
                </w:p>
              </w:tc>
              <w:tc>
                <w:tcPr>
                  <w:tcW w:w="10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河南腾起建筑工程有限公司</w:t>
                  </w:r>
                </w:p>
              </w:tc>
              <w:tc>
                <w:tcPr>
                  <w:tcW w:w="79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11373794.87</w:t>
                  </w:r>
                </w:p>
              </w:tc>
              <w:tc>
                <w:tcPr>
                  <w:tcW w:w="39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赵俊聪</w:t>
                  </w:r>
                </w:p>
              </w:tc>
              <w:tc>
                <w:tcPr>
                  <w:tcW w:w="1705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合格，达到热力公司验收标准及国家相关规范标准。</w:t>
                  </w:r>
                </w:p>
              </w:tc>
              <w:tc>
                <w:tcPr>
                  <w:tcW w:w="812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120</w:t>
                  </w:r>
                </w:p>
              </w:tc>
            </w:tr>
          </w:tbl>
          <w:p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1.2 中标候选人项目管理人员情况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tbl>
            <w:tblPr>
              <w:tblStyle w:val="13"/>
              <w:tblW w:w="5000" w:type="pct"/>
              <w:tblCellSpacing w:w="0" w:type="dxa"/>
              <w:tblInd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39"/>
              <w:gridCol w:w="1476"/>
              <w:gridCol w:w="716"/>
              <w:gridCol w:w="572"/>
              <w:gridCol w:w="716"/>
              <w:gridCol w:w="2006"/>
              <w:gridCol w:w="1000"/>
              <w:gridCol w:w="2184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4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81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单位名称</w:t>
                  </w:r>
                </w:p>
              </w:tc>
              <w:tc>
                <w:tcPr>
                  <w:tcW w:w="39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姓名</w:t>
                  </w:r>
                </w:p>
              </w:tc>
              <w:tc>
                <w:tcPr>
                  <w:tcW w:w="31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人员类别</w:t>
                  </w:r>
                </w:p>
              </w:tc>
              <w:tc>
                <w:tcPr>
                  <w:tcW w:w="39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职务</w:t>
                  </w:r>
                </w:p>
              </w:tc>
              <w:tc>
                <w:tcPr>
                  <w:tcW w:w="110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身份证号码</w:t>
                  </w:r>
                </w:p>
              </w:tc>
              <w:tc>
                <w:tcPr>
                  <w:tcW w:w="5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职业资格证书</w:t>
                  </w:r>
                </w:p>
              </w:tc>
              <w:tc>
                <w:tcPr>
                  <w:tcW w:w="119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证书编号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4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81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河南天弘建设集团有限公司</w:t>
                  </w:r>
                </w:p>
              </w:tc>
              <w:tc>
                <w:tcPr>
                  <w:tcW w:w="39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张博</w:t>
                  </w:r>
                </w:p>
              </w:tc>
              <w:tc>
                <w:tcPr>
                  <w:tcW w:w="31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管理人员</w:t>
                  </w:r>
                </w:p>
              </w:tc>
              <w:tc>
                <w:tcPr>
                  <w:tcW w:w="39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项目</w:t>
                  </w:r>
                </w:p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经理</w:t>
                  </w:r>
                </w:p>
              </w:tc>
              <w:tc>
                <w:tcPr>
                  <w:tcW w:w="110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4</w:t>
                  </w: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10***********0016</w:t>
                  </w:r>
                </w:p>
              </w:tc>
              <w:tc>
                <w:tcPr>
                  <w:tcW w:w="5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bookmarkStart w:id="1" w:name="OLE_LINK4"/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注册</w:t>
                  </w: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二级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建造师</w:t>
                  </w:r>
                </w:p>
                <w:bookmarkEnd w:id="1"/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</w:p>
              </w:tc>
              <w:tc>
                <w:tcPr>
                  <w:tcW w:w="119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豫241171724125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4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81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河南万佳建设工程有限公司</w:t>
                  </w:r>
                </w:p>
              </w:tc>
              <w:tc>
                <w:tcPr>
                  <w:tcW w:w="39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朱永顺</w:t>
                  </w:r>
                </w:p>
              </w:tc>
              <w:tc>
                <w:tcPr>
                  <w:tcW w:w="31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管理人员</w:t>
                  </w:r>
                </w:p>
              </w:tc>
              <w:tc>
                <w:tcPr>
                  <w:tcW w:w="39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项目</w:t>
                  </w:r>
                </w:p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经理</w:t>
                  </w:r>
                </w:p>
              </w:tc>
              <w:tc>
                <w:tcPr>
                  <w:tcW w:w="110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410***********2936</w:t>
                  </w:r>
                </w:p>
              </w:tc>
              <w:tc>
                <w:tcPr>
                  <w:tcW w:w="5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</w:pPr>
                  <w:bookmarkStart w:id="2" w:name="OLE_LINK5"/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注册</w:t>
                  </w: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二级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建造师</w:t>
                  </w:r>
                  <w:bookmarkEnd w:id="2"/>
                </w:p>
              </w:tc>
              <w:tc>
                <w:tcPr>
                  <w:tcW w:w="119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豫241202195289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4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3</w:t>
                  </w:r>
                </w:p>
              </w:tc>
              <w:tc>
                <w:tcPr>
                  <w:tcW w:w="81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河南腾起建筑工程有限公司</w:t>
                  </w:r>
                </w:p>
              </w:tc>
              <w:tc>
                <w:tcPr>
                  <w:tcW w:w="39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赵俊聪</w:t>
                  </w:r>
                </w:p>
              </w:tc>
              <w:tc>
                <w:tcPr>
                  <w:tcW w:w="31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管理人员</w:t>
                  </w:r>
                </w:p>
              </w:tc>
              <w:tc>
                <w:tcPr>
                  <w:tcW w:w="39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项目</w:t>
                  </w:r>
                </w:p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经理</w:t>
                  </w:r>
                </w:p>
              </w:tc>
              <w:tc>
                <w:tcPr>
                  <w:tcW w:w="110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410***********1175</w:t>
                  </w:r>
                </w:p>
              </w:tc>
              <w:tc>
                <w:tcPr>
                  <w:tcW w:w="5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注册</w:t>
                  </w: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二级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建造师</w:t>
                  </w:r>
                </w:p>
              </w:tc>
              <w:tc>
                <w:tcPr>
                  <w:tcW w:w="119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豫241212286853</w:t>
                  </w:r>
                </w:p>
              </w:tc>
            </w:tr>
          </w:tbl>
          <w:p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1.3中标候选人企业业绩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tbl>
            <w:tblPr>
              <w:tblStyle w:val="13"/>
              <w:tblW w:w="5000" w:type="pct"/>
              <w:tblCellSpacing w:w="0" w:type="dxa"/>
              <w:tblInd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70"/>
              <w:gridCol w:w="1344"/>
              <w:gridCol w:w="3164"/>
              <w:gridCol w:w="1638"/>
              <w:gridCol w:w="1219"/>
              <w:gridCol w:w="1374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0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73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中标候选人名称</w:t>
                  </w:r>
                </w:p>
              </w:tc>
              <w:tc>
                <w:tcPr>
                  <w:tcW w:w="173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中标工程名称</w:t>
                  </w:r>
                </w:p>
              </w:tc>
              <w:tc>
                <w:tcPr>
                  <w:tcW w:w="89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建设单位</w:t>
                  </w:r>
                </w:p>
              </w:tc>
              <w:tc>
                <w:tcPr>
                  <w:tcW w:w="66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合同签订时间</w:t>
                  </w:r>
                </w:p>
              </w:tc>
              <w:tc>
                <w:tcPr>
                  <w:tcW w:w="75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合同金额（元）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0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bookmarkStart w:id="3" w:name="_Hlk244855032"/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73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河南天弘建设集团有限公司</w:t>
                  </w:r>
                </w:p>
              </w:tc>
              <w:tc>
                <w:tcPr>
                  <w:tcW w:w="173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长垣盾安节能热力有限公司新建</w:t>
                  </w: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2025年新用户供热管网施工项目标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段</w:t>
                  </w: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89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长垣盾安节能热力有限公司</w:t>
                  </w:r>
                </w:p>
              </w:tc>
              <w:tc>
                <w:tcPr>
                  <w:tcW w:w="66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2025.09.30</w:t>
                  </w:r>
                </w:p>
              </w:tc>
              <w:tc>
                <w:tcPr>
                  <w:tcW w:w="75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12488897.29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0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73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河南万佳建设工程有限公司</w:t>
                  </w:r>
                </w:p>
              </w:tc>
              <w:tc>
                <w:tcPr>
                  <w:tcW w:w="173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2023年科尔沁区二次供热管网改造工程施工(第一批)第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一标段</w:t>
                  </w:r>
                </w:p>
              </w:tc>
              <w:tc>
                <w:tcPr>
                  <w:tcW w:w="89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通辽市科尔沁区住房和城乡建设局</w:t>
                  </w:r>
                </w:p>
              </w:tc>
              <w:tc>
                <w:tcPr>
                  <w:tcW w:w="66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023.07.11</w:t>
                  </w:r>
                </w:p>
              </w:tc>
              <w:tc>
                <w:tcPr>
                  <w:tcW w:w="75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5080102.02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0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3</w:t>
                  </w:r>
                </w:p>
              </w:tc>
              <w:tc>
                <w:tcPr>
                  <w:tcW w:w="73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河南腾起建筑工程有限公司</w:t>
                  </w:r>
                </w:p>
              </w:tc>
              <w:tc>
                <w:tcPr>
                  <w:tcW w:w="173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郑州市中原新区庙王安置区项目东地块热力工程设计和施工</w:t>
                  </w:r>
                </w:p>
              </w:tc>
              <w:tc>
                <w:tcPr>
                  <w:tcW w:w="89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郑州西流湖控股有限公司</w:t>
                  </w:r>
                </w:p>
              </w:tc>
              <w:tc>
                <w:tcPr>
                  <w:tcW w:w="66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023.09.04</w:t>
                  </w:r>
                </w:p>
              </w:tc>
              <w:tc>
                <w:tcPr>
                  <w:tcW w:w="75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11649238.65</w:t>
                  </w:r>
                </w:p>
              </w:tc>
            </w:tr>
            <w:bookmarkEnd w:id="3"/>
          </w:tbl>
          <w:p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1.4中标候选人项目负责人业绩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无相关要求。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二、中标候选人响应招标文件要求的资格能力条件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2.1招标文件要求的资格能力条件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tbl>
            <w:tblPr>
              <w:tblStyle w:val="13"/>
              <w:tblW w:w="5000" w:type="pct"/>
              <w:tblCellSpacing w:w="0" w:type="dxa"/>
              <w:tblInd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64"/>
              <w:gridCol w:w="1530"/>
              <w:gridCol w:w="7115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0" w:type="dxa"/>
              </w:trPr>
              <w:tc>
                <w:tcPr>
                  <w:tcW w:w="32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702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标段编号</w:t>
                  </w:r>
                </w:p>
              </w:tc>
              <w:tc>
                <w:tcPr>
                  <w:tcW w:w="39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资格能力条件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24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702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26-GCZN-024601</w:t>
                  </w:r>
                </w:p>
              </w:tc>
              <w:tc>
                <w:tcPr>
                  <w:tcW w:w="39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7"/>
                      <w:kern w:val="0"/>
                      <w:szCs w:val="21"/>
                    </w:rPr>
                    <w:t>1 资质要求：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（</w:t>
                  </w:r>
                  <w:r>
                    <w:rPr>
                      <w:rFonts w:ascii="宋体" w:hAnsi="宋体" w:eastAsia="宋体" w:cs="Times New Roman"/>
                      <w:snapToGrid w:val="0"/>
                      <w:kern w:val="0"/>
                      <w:szCs w:val="21"/>
                    </w:rPr>
                    <w:t>1</w:t>
                  </w: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）本次招标要求投标人具有独立法人资格并依法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取得企业营业执照，营业执照处于</w:t>
                  </w:r>
                  <w:r>
                    <w:rPr>
                      <w:rFonts w:ascii="宋体" w:hAnsi="宋体" w:eastAsia="宋体" w:cs="宋体"/>
                      <w:snapToGrid w:val="0"/>
                      <w:spacing w:val="-8"/>
                      <w:kern w:val="0"/>
                      <w:szCs w:val="21"/>
                    </w:rPr>
                    <w:t>有效期。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1.2</w:t>
                  </w:r>
                  <w:r>
                    <w:rPr>
                      <w:rFonts w:hint="eastAsia"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企业资质（施工部分</w:t>
                  </w:r>
                  <w:r>
                    <w:rPr>
                      <w:rFonts w:ascii="宋体" w:hAnsi="宋体" w:eastAsia="宋体" w:cs="宋体"/>
                      <w:snapToGrid w:val="0"/>
                      <w:spacing w:val="6"/>
                      <w:kern w:val="0"/>
                      <w:szCs w:val="21"/>
                    </w:rPr>
                    <w:t>）：</w:t>
                  </w: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具备住房城乡建设主管部门颁发的施工总承包</w:t>
                  </w:r>
                  <w:r>
                    <w:rPr>
                      <w:rFonts w:ascii="宋体" w:hAnsi="宋体" w:eastAsia="宋体" w:cs="宋体"/>
                      <w:snapToGrid w:val="0"/>
                      <w:spacing w:val="-25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·市政公用工</w:t>
                  </w: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程</w:t>
                  </w:r>
                  <w:r>
                    <w:rPr>
                      <w:rFonts w:ascii="宋体" w:hAnsi="宋体" w:eastAsia="宋体" w:cs="宋体"/>
                      <w:snapToGrid w:val="0"/>
                      <w:spacing w:val="-25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·市政公用工程三级及以上资质且处于有效期，安全生产许可</w:t>
                  </w: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证处于有效期（注：绿化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工程、土石方工程安全生产许可证不作要求）。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6"/>
                      <w:kern w:val="0"/>
                      <w:szCs w:val="21"/>
                    </w:rPr>
                    <w:t>2 项目经理要求：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拟任项目经理资格：具有市政公用工程专业二级及以上注册建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造师执业资格证书以及有效的项目负责人安全生产考核合格证书（安全生产考核合格证(B证)</w:t>
                  </w:r>
                  <w:r>
                    <w:rPr>
                      <w:rFonts w:ascii="宋体" w:hAnsi="宋体" w:eastAsia="宋体" w:cs="宋体"/>
                      <w:snapToGrid w:val="0"/>
                      <w:spacing w:val="5"/>
                      <w:kern w:val="0"/>
                      <w:szCs w:val="21"/>
                    </w:rPr>
                    <w:t>），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且须满足第二</w:t>
                  </w: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章投标人须知前附表第10.5款要求。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7"/>
                      <w:kern w:val="0"/>
                      <w:szCs w:val="21"/>
                    </w:rPr>
                    <w:t>3 业绩要求：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3.1 企业类似工程业绩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7"/>
                      <w:kern w:val="0"/>
                      <w:szCs w:val="21"/>
                    </w:rPr>
                    <w:t>□不要求类似工程业绩；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Segoe UI Emoji" w:hAnsi="Segoe UI Emoji" w:eastAsia="宋体" w:cs="Segoe UI Emoji"/>
                      <w:snapToGrid w:val="0"/>
                      <w:spacing w:val="-1"/>
                      <w:kern w:val="0"/>
                      <w:szCs w:val="21"/>
                    </w:rPr>
                    <w:t>☑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要求投标人自2023年1月1日以来具有单项合同额500万元及以上的供热工程施工业绩（须提供中标通知书、合同协议书，缺任意一项则该业绩无效）。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3.2 项目经理类似工程业绩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Segoe UI Emoji" w:hAnsi="Segoe UI Emoji" w:eastAsia="宋体" w:cs="Segoe UI Emoji"/>
                      <w:snapToGrid w:val="0"/>
                      <w:spacing w:val="-7"/>
                      <w:kern w:val="0"/>
                      <w:szCs w:val="21"/>
                    </w:rPr>
                    <w:t>☑</w:t>
                  </w:r>
                  <w:r>
                    <w:rPr>
                      <w:rFonts w:ascii="宋体" w:hAnsi="宋体" w:eastAsia="宋体" w:cs="宋体"/>
                      <w:snapToGrid w:val="0"/>
                      <w:spacing w:val="-7"/>
                      <w:kern w:val="0"/>
                      <w:szCs w:val="21"/>
                    </w:rPr>
                    <w:t>不要求类似工程业绩；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8"/>
                      <w:kern w:val="0"/>
                      <w:szCs w:val="21"/>
                    </w:rPr>
                    <w:t>□要求。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napToGrid w:val="0"/>
                      <w:spacing w:val="-2"/>
                      <w:kern w:val="0"/>
                      <w:szCs w:val="21"/>
                    </w:rPr>
                    <w:t>类似工程业绩具体要求详见第二章投标人须知前附表第</w:t>
                  </w:r>
                  <w:r>
                    <w:rPr>
                      <w:rFonts w:ascii="宋体" w:hAnsi="宋体" w:eastAsia="宋体" w:cs="Times New Roman"/>
                      <w:b/>
                      <w:bCs/>
                      <w:snapToGrid w:val="0"/>
                      <w:spacing w:val="-2"/>
                      <w:kern w:val="0"/>
                      <w:szCs w:val="21"/>
                    </w:rPr>
                    <w:t>10.1.1</w:t>
                  </w:r>
                  <w:r>
                    <w:rPr>
                      <w:rFonts w:ascii="宋体" w:hAnsi="宋体" w:eastAsia="宋体" w:cs="宋体"/>
                      <w:b/>
                      <w:bCs/>
                      <w:snapToGrid w:val="0"/>
                      <w:spacing w:val="-2"/>
                      <w:kern w:val="0"/>
                      <w:szCs w:val="21"/>
                    </w:rPr>
                    <w:t>款。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napToGrid w:val="0"/>
                      <w:spacing w:val="-2"/>
                      <w:kern w:val="0"/>
                      <w:szCs w:val="21"/>
                    </w:rPr>
                    <w:t>业绩牵引指标：可由招标人根据项目情况从下述指标项中选择</w:t>
                  </w:r>
                  <w:r>
                    <w:rPr>
                      <w:rFonts w:ascii="宋体" w:hAnsi="宋体" w:eastAsia="宋体" w:cs="Times New Roman"/>
                      <w:b/>
                      <w:bCs/>
                      <w:snapToGrid w:val="0"/>
                      <w:spacing w:val="-2"/>
                      <w:kern w:val="0"/>
                      <w:szCs w:val="21"/>
                    </w:rPr>
                    <w:t>1-2</w:t>
                  </w:r>
                  <w:r>
                    <w:rPr>
                      <w:rFonts w:ascii="宋体" w:hAnsi="宋体" w:eastAsia="宋体" w:cs="宋体"/>
                      <w:b/>
                      <w:bCs/>
                      <w:snapToGrid w:val="0"/>
                      <w:spacing w:val="-2"/>
                      <w:kern w:val="0"/>
                      <w:szCs w:val="21"/>
                    </w:rPr>
                    <w:t>项，多资质组合招标时，各专业对应选取</w:t>
                  </w:r>
                  <w:r>
                    <w:rPr>
                      <w:rFonts w:ascii="宋体" w:hAnsi="宋体" w:eastAsia="宋体" w:cs="Times New Roman"/>
                      <w:b/>
                      <w:bCs/>
                      <w:snapToGrid w:val="0"/>
                      <w:spacing w:val="-2"/>
                      <w:kern w:val="0"/>
                      <w:szCs w:val="21"/>
                    </w:rPr>
                    <w:t>1</w:t>
                  </w:r>
                  <w:r>
                    <w:rPr>
                      <w:rFonts w:ascii="宋体" w:hAnsi="宋体" w:eastAsia="宋体" w:cs="宋体"/>
                      <w:b/>
                      <w:bCs/>
                      <w:snapToGrid w:val="0"/>
                      <w:spacing w:val="-2"/>
                      <w:kern w:val="0"/>
                      <w:szCs w:val="21"/>
                    </w:rPr>
                    <w:t>—</w:t>
                  </w:r>
                  <w:r>
                    <w:rPr>
                      <w:rFonts w:ascii="宋体" w:hAnsi="宋体" w:eastAsia="宋体" w:cs="Times New Roman"/>
                      <w:b/>
                      <w:bCs/>
                      <w:snapToGrid w:val="0"/>
                      <w:spacing w:val="-2"/>
                      <w:kern w:val="0"/>
                      <w:szCs w:val="21"/>
                    </w:rPr>
                    <w:t>2</w:t>
                  </w:r>
                  <w:r>
                    <w:rPr>
                      <w:rFonts w:ascii="宋体" w:hAnsi="宋体" w:eastAsia="宋体" w:cs="宋体"/>
                      <w:b/>
                      <w:bCs/>
                      <w:snapToGrid w:val="0"/>
                      <w:spacing w:val="-2"/>
                      <w:kern w:val="0"/>
                      <w:szCs w:val="21"/>
                    </w:rPr>
                    <w:t>个指标项。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4 财务要求：财务运行状况良好，没有财务被接管、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冻结、破产状态，投标时提供2</w:t>
                  </w: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023、2024、2025年度财务审计报告；投标人的成立时间少于本条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规定年份的，应提供成立</w:t>
                  </w: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以来的财务状况表和纳税社保证明材料。。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5 信誉要求：投标人及其法定代表人和拟派项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目经理不得存在以下情形之一：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1"/>
                      <w:kern w:val="0"/>
                      <w:szCs w:val="21"/>
                    </w:rPr>
                    <w:t>5.1 被列入全国或省级建筑市场监管公共服务平台“黑名单</w:t>
                  </w:r>
                  <w:r>
                    <w:rPr>
                      <w:rFonts w:ascii="宋体" w:hAnsi="宋体" w:eastAsia="宋体" w:cs="宋体"/>
                      <w:snapToGrid w:val="0"/>
                      <w:spacing w:val="-77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napToGrid w:val="0"/>
                      <w:spacing w:val="1"/>
                      <w:kern w:val="0"/>
                      <w:szCs w:val="21"/>
                    </w:rPr>
                    <w:t>”且在管</w:t>
                  </w: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理期限内的(</w:t>
                  </w:r>
                  <w:r>
                    <w:rPr>
                      <w:rFonts w:ascii="宋体" w:hAnsi="宋体" w:eastAsia="宋体" w:cs="宋体"/>
                      <w:snapToGrid w:val="0"/>
                      <w:spacing w:val="-5"/>
                      <w:kern w:val="0"/>
                      <w:szCs w:val="21"/>
                    </w:rPr>
                    <w:t>投标人、拟派项目经理</w:t>
                  </w: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）；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5.2 被列入国家企业信用信息公示系统“严重违法失信名单</w:t>
                  </w:r>
                  <w:r>
                    <w:rPr>
                      <w:rFonts w:ascii="宋体" w:hAnsi="宋体" w:eastAsia="宋体" w:cs="宋体"/>
                      <w:snapToGrid w:val="0"/>
                      <w:spacing w:val="-77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”且</w:t>
                  </w: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在管理期限内的；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5.3 被列入信用中国网站“失信被执行人</w:t>
                  </w:r>
                  <w:r>
                    <w:rPr>
                      <w:rFonts w:ascii="宋体" w:hAnsi="宋体" w:eastAsia="宋体" w:cs="宋体"/>
                      <w:snapToGrid w:val="0"/>
                      <w:spacing w:val="-7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”且在管理期限内的；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5.4 投标所用资质项在全国或省级建筑市场监管公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共服务平台相关专业资质状况被</w:t>
                  </w: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标注资质异常状态的（投标人）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投标人需提供上述途径查询结果截图，并对其真实性负责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。查询时间为招标公告发布</w:t>
                  </w: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之日后，投标截止时间前，查询结果需显示时间。若存在一个及以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上记录的，其投标资格</w:t>
                  </w:r>
                  <w:r>
                    <w:rPr>
                      <w:rFonts w:ascii="宋体" w:hAnsi="宋体" w:eastAsia="宋体" w:cs="宋体"/>
                      <w:snapToGrid w:val="0"/>
                      <w:spacing w:val="-6"/>
                      <w:kern w:val="0"/>
                      <w:szCs w:val="21"/>
                    </w:rPr>
                    <w:t>应予以否决。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招标人或招标代理机构通过全国建筑市场监管公共服务平台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、国家企业信用信息公示系统、“信用中国</w:t>
                  </w:r>
                  <w:r>
                    <w:rPr>
                      <w:rFonts w:ascii="宋体" w:hAnsi="宋体" w:eastAsia="宋体" w:cs="宋体"/>
                      <w:snapToGrid w:val="0"/>
                      <w:spacing w:val="-63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”网站、省级建筑市场监管公共服务平台等渠道进行查询复核并留档，</w:t>
                  </w: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以查询复核结果为准，</w:t>
                  </w:r>
                  <w:r>
                    <w:rPr>
                      <w:rFonts w:ascii="宋体" w:hAnsi="宋体" w:eastAsia="宋体" w:cs="宋体"/>
                      <w:b/>
                      <w:bCs/>
                      <w:snapToGrid w:val="0"/>
                      <w:spacing w:val="-2"/>
                      <w:kern w:val="0"/>
                      <w:szCs w:val="21"/>
                    </w:rPr>
                    <w:t>查询信息的截止时间为投标截止时间</w:t>
                  </w: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6 执行的招标投标/政府采购政策资格要求：/。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7 本次招标</w:t>
                  </w:r>
                  <w:r>
                    <w:rPr>
                      <w:rFonts w:ascii="Segoe UI Emoji" w:hAnsi="Segoe UI Emoji" w:eastAsia="宋体" w:cs="Segoe UI Emoji"/>
                      <w:snapToGrid w:val="0"/>
                      <w:spacing w:val="-2"/>
                      <w:kern w:val="0"/>
                      <w:szCs w:val="21"/>
                    </w:rPr>
                    <w:t>☑</w:t>
                  </w: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不接受联合体投标</w:t>
                  </w:r>
                  <w:r>
                    <w:rPr>
                      <w:rFonts w:ascii="宋体" w:hAnsi="宋体" w:eastAsia="宋体" w:cs="宋体"/>
                      <w:snapToGrid w:val="0"/>
                      <w:spacing w:val="38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□接受联合体投标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(接受或不接受）联合体投标的。联合体投标的，应满足下列要求：/。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8 各投标人均可就本招标项目上述标段中的1（具体数量）个标段投标，但最多允许</w:t>
                  </w: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中标/（具体数量）个标段（适用于分标段</w:t>
                  </w: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的招标项目）。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9 其他要求：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3.9.1 其他信誉要求：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①投标人没有尚在执行期的被责令停业，投标资格被取消或财产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被接管、冻结和破产</w:t>
                  </w: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状态的情况，近三年内没有骗取中标或者严重违约以及重大工程质量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、安全生产事故等责</w:t>
                  </w: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任事故问题，没有被有关部门暂停投标资格并在暂停期内的情况（企业须提供书面承诺，</w:t>
                  </w:r>
                  <w:r>
                    <w:rPr>
                      <w:rFonts w:ascii="宋体" w:hAnsi="宋体" w:eastAsia="宋体" w:cs="宋体"/>
                      <w:snapToGrid w:val="0"/>
                      <w:spacing w:val="-5"/>
                      <w:kern w:val="0"/>
                      <w:szCs w:val="21"/>
                    </w:rPr>
                    <w:t>加盖单位公章）。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②投标人需承诺自2023年1月1日以来投标人、法定代表人、拟派项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目经理无行贿犯罪</w:t>
                  </w: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行为（企业须提供书面承诺，加盖单位公章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）；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③自招标公告发布之日起至本项目投标截止时间内，投标人未被列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入环保失信黑名单</w:t>
                  </w: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（企业须提供书面承诺，加盖单位公章）。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④投标人需承诺遵守《保障农民工工资支付条例》，且未被列入尚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在执行期的拖欠农</w:t>
                  </w: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民工工资黑名单（企业须提供书面承诺，加盖</w:t>
                  </w: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单位公章）。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⑤单位负责人为同一人或者存在控股、管理关系的不同单位，不得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参加同一标段投标</w:t>
                  </w: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 xml:space="preserve">或者未划分标段的同一招标项目投标（提供“国家企业信用信息公示系统 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”中查询网页截图，加盖单位公章）。。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15"/>
                      <w:kern w:val="0"/>
                      <w:szCs w:val="21"/>
                    </w:rPr>
                    <w:t>注：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（</w:t>
                  </w:r>
                  <w:r>
                    <w:rPr>
                      <w:rFonts w:ascii="宋体" w:hAnsi="宋体" w:eastAsia="宋体" w:cs="Times New Roman"/>
                      <w:snapToGrid w:val="0"/>
                      <w:spacing w:val="-1"/>
                      <w:kern w:val="0"/>
                      <w:szCs w:val="21"/>
                    </w:rPr>
                    <w:t>1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）招标人应对该项目中标候选人的资格、业绩等信息进行审查，发现投标人不符</w:t>
                  </w:r>
                  <w:r>
                    <w:rPr>
                      <w:rFonts w:ascii="宋体" w:hAnsi="宋体" w:eastAsia="宋体" w:cs="宋体"/>
                      <w:snapToGrid w:val="0"/>
                      <w:kern w:val="0"/>
                      <w:szCs w:val="21"/>
                    </w:rPr>
                    <w:t>合招标文件资格审查标准、存在虚假或不实材料的，招标人将取消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中标候选人资格，并将</w:t>
                  </w:r>
                  <w:r>
                    <w:rPr>
                      <w:rFonts w:ascii="宋体" w:hAnsi="宋体" w:eastAsia="宋体" w:cs="宋体"/>
                      <w:snapToGrid w:val="0"/>
                      <w:spacing w:val="-3"/>
                      <w:kern w:val="0"/>
                      <w:szCs w:val="21"/>
                    </w:rPr>
                    <w:t>违法违规情况移交至行政监督部门。</w:t>
                  </w:r>
                </w:p>
                <w:p>
                  <w:pPr>
                    <w:widowControl/>
                    <w:kinsoku w:val="0"/>
                    <w:autoSpaceDE w:val="0"/>
                    <w:autoSpaceDN w:val="0"/>
                    <w:adjustRightInd w:val="0"/>
                    <w:snapToGrid w:val="0"/>
                    <w:spacing w:line="288" w:lineRule="auto"/>
                    <w:textAlignment w:val="baseline"/>
                    <w:rPr>
                      <w:rFonts w:ascii="宋体" w:hAnsi="宋体" w:eastAsia="宋体" w:cs="宋体"/>
                      <w:snapToGrid w:val="0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（</w:t>
                  </w:r>
                  <w:r>
                    <w:rPr>
                      <w:rFonts w:ascii="宋体" w:hAnsi="宋体" w:eastAsia="宋体" w:cs="Times New Roman"/>
                      <w:snapToGrid w:val="0"/>
                      <w:spacing w:val="-1"/>
                      <w:kern w:val="0"/>
                      <w:szCs w:val="21"/>
                    </w:rPr>
                    <w:t>2</w:t>
                  </w:r>
                  <w:r>
                    <w:rPr>
                      <w:rFonts w:ascii="宋体" w:hAnsi="宋体" w:eastAsia="宋体" w:cs="宋体"/>
                      <w:snapToGrid w:val="0"/>
                      <w:spacing w:val="-1"/>
                      <w:kern w:val="0"/>
                      <w:szCs w:val="21"/>
                    </w:rPr>
                    <w:t>）合同签订前，招标人有权对该项目中标人的资格、人员信息等进行核查，发现有虚假或不实信息的，招标人将取消其中标人资格，并重新组织定标或重</w:t>
                  </w:r>
                  <w:r>
                    <w:rPr>
                      <w:rFonts w:ascii="宋体" w:hAnsi="宋体" w:eastAsia="宋体" w:cs="宋体"/>
                      <w:snapToGrid w:val="0"/>
                      <w:spacing w:val="-2"/>
                      <w:kern w:val="0"/>
                      <w:szCs w:val="21"/>
                    </w:rPr>
                    <w:t>新招标。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  </w:t>
                  </w:r>
                </w:p>
              </w:tc>
            </w:tr>
          </w:tbl>
          <w:p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2.2中标候选人响应招标文件要求的资格能力条件情况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tbl>
            <w:tblPr>
              <w:tblStyle w:val="13"/>
              <w:tblW w:w="5000" w:type="pct"/>
              <w:tblCellSpacing w:w="0" w:type="dxa"/>
              <w:tblInd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147"/>
              <w:gridCol w:w="2152"/>
              <w:gridCol w:w="3658"/>
              <w:gridCol w:w="2152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63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118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标段编号</w:t>
                  </w:r>
                </w:p>
              </w:tc>
              <w:tc>
                <w:tcPr>
                  <w:tcW w:w="200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中标候选人名称</w:t>
                  </w:r>
                </w:p>
              </w:tc>
              <w:tc>
                <w:tcPr>
                  <w:tcW w:w="118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响应情况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63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118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 26-GCZN-024601 </w:t>
                  </w:r>
                </w:p>
              </w:tc>
              <w:tc>
                <w:tcPr>
                  <w:tcW w:w="200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河南天弘建设集团有限公司</w:t>
                  </w:r>
                </w:p>
              </w:tc>
              <w:tc>
                <w:tcPr>
                  <w:tcW w:w="118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响应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63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118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26-GCZN-024601</w:t>
                  </w:r>
                </w:p>
              </w:tc>
              <w:tc>
                <w:tcPr>
                  <w:tcW w:w="200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河南万佳建设工程有限公司</w:t>
                  </w:r>
                </w:p>
              </w:tc>
              <w:tc>
                <w:tcPr>
                  <w:tcW w:w="118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响应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63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3</w:t>
                  </w:r>
                </w:p>
              </w:tc>
              <w:tc>
                <w:tcPr>
                  <w:tcW w:w="118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26-GCZN-024601</w:t>
                  </w:r>
                </w:p>
              </w:tc>
              <w:tc>
                <w:tcPr>
                  <w:tcW w:w="200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河南腾起建筑工程有限公司</w:t>
                  </w:r>
                </w:p>
              </w:tc>
              <w:tc>
                <w:tcPr>
                  <w:tcW w:w="118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响应</w:t>
                  </w:r>
                </w:p>
              </w:tc>
            </w:tr>
          </w:tbl>
          <w:p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三、废标情况及原因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tbl>
            <w:tblPr>
              <w:tblStyle w:val="13"/>
              <w:tblW w:w="5000" w:type="pct"/>
              <w:tblCellSpacing w:w="0" w:type="dxa"/>
              <w:tblInd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95"/>
              <w:gridCol w:w="1627"/>
              <w:gridCol w:w="7087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0" w:type="dxa"/>
              </w:trPr>
              <w:tc>
                <w:tcPr>
                  <w:tcW w:w="21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89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投标人名称</w:t>
                  </w:r>
                </w:p>
              </w:tc>
              <w:tc>
                <w:tcPr>
                  <w:tcW w:w="388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废标原因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1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1 </w:t>
                  </w:r>
                </w:p>
              </w:tc>
              <w:tc>
                <w:tcPr>
                  <w:tcW w:w="89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河南国众安装</w:t>
                  </w:r>
                </w:p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工程有限公司 </w:t>
                  </w:r>
                </w:p>
              </w:tc>
              <w:tc>
                <w:tcPr>
                  <w:tcW w:w="388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标前信誉查询，该单位资质异常。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21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2 </w:t>
                  </w:r>
                </w:p>
              </w:tc>
              <w:tc>
                <w:tcPr>
                  <w:tcW w:w="89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河南海岸建设有限公司 </w:t>
                  </w:r>
                </w:p>
              </w:tc>
              <w:tc>
                <w:tcPr>
                  <w:tcW w:w="388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不符合投标人须知前附表10.13.6项中：评标期间,投标文件中没有承诺能够 按时到岗履职的,评标委员会应当否决其投标。 </w:t>
                  </w:r>
                </w:p>
              </w:tc>
            </w:tr>
          </w:tbl>
          <w:p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四、报价修正情况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无报价修正。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五、所有投标人综合标评分情况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tbl>
            <w:tblPr>
              <w:tblStyle w:val="13"/>
              <w:tblW w:w="5000" w:type="pct"/>
              <w:tblCellSpacing w:w="0" w:type="dxa"/>
              <w:tblInd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656"/>
              <w:gridCol w:w="4098"/>
              <w:gridCol w:w="871"/>
              <w:gridCol w:w="871"/>
              <w:gridCol w:w="871"/>
              <w:gridCol w:w="871"/>
              <w:gridCol w:w="871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投标人名称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评委A 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评委B 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评委C 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评委D 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评委E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河南天弘建设集团有限公司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河南万佳建设工程有限公司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29.30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29.80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3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河南腾起建筑工程有限公司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郑州一建集团工程建设有限公司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29.30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5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河南友邦机电安装工程有限公司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30.00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30.00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30.00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29.80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29.80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6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中润昌弘建工集团有限公司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29.80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29.80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7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河南新濮建设工程有限公司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29.80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29.80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8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三赢建设集团有限公司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28.60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28.80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28.50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9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铭星建工集团有限公司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28.80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28.80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10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鑫路建设集团有限公司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28.80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28.50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11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河南艺晨建筑安装工程有限公司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30.00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29.60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30.00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29.80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12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河南万美工程管理有限公司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29.80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13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河南广建大道建设工程有限公司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14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河南乐泰建筑工程有限公司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28.60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28.80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28.30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15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天然建工集团有限公司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28.50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29.20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29.50</w:t>
                  </w:r>
                </w:p>
              </w:tc>
            </w:tr>
          </w:tbl>
          <w:p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六、所有投标人技术标评分情况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tbl>
            <w:tblPr>
              <w:tblStyle w:val="13"/>
              <w:tblW w:w="5000" w:type="pct"/>
              <w:tblCellSpacing w:w="0" w:type="dxa"/>
              <w:tblInd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656"/>
              <w:gridCol w:w="4098"/>
              <w:gridCol w:w="871"/>
              <w:gridCol w:w="871"/>
              <w:gridCol w:w="871"/>
              <w:gridCol w:w="871"/>
              <w:gridCol w:w="871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投标人名称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评委A 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评委B 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评委C 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评委D 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评委E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河南天弘建设集团有限公司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河南万佳建设工程有限公司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3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河南腾起建筑工程有限公司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郑州一建集团工程建设有限公司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5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河南友邦机电安装工程有限公司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6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中润昌弘建工集团有限公司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7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河南新濮建设工程有限公司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8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三赢建设集团有限公司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9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铭星建工集团有限公司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10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鑫路建设集团有限公司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11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河南艺晨建筑安装工程有限公司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16.00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16.00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16.00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16.00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16.00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12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河南万美工程管理有限公司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13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河南广建大道建设工程有限公司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14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河南乐泰建筑工程有限公司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17.50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17.50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17.50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17.50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17.50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6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15</w:t>
                  </w:r>
                </w:p>
              </w:tc>
              <w:tc>
                <w:tcPr>
                  <w:tcW w:w="224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天然建工集团有限公司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  <w:tc>
                <w:tcPr>
                  <w:tcW w:w="47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19.00</w:t>
                  </w:r>
                </w:p>
              </w:tc>
            </w:tr>
          </w:tbl>
          <w:p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七、所有投标人总得分情况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tbl>
            <w:tblPr>
              <w:tblStyle w:val="13"/>
              <w:tblW w:w="5000" w:type="pct"/>
              <w:tblCellSpacing w:w="0" w:type="dxa"/>
              <w:tblInd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861"/>
              <w:gridCol w:w="5391"/>
              <w:gridCol w:w="1618"/>
              <w:gridCol w:w="1239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投标人名称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报价得分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总得分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1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河南天弘建设集团有限公司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36.476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84.596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2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河南万佳建设工程有限公司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36.008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84.408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3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河南腾起建筑工程有限公司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34.900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84.08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4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郑州一建集团工程建设有限公司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35.541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83.881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5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河南友邦机电安装工程有限公司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32.957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81.877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6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中润昌弘建工集团有限公司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32.167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81.727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7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河南新濮建设工程有限公司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33.109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81.549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8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三赢建设集团有限公司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33.699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81.279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9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铭星建工集团有限公司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32.451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80.451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10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鑫路建设集团有限公司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32.456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80.016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11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河南艺晨建筑安装工程有限公司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30.837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76.517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12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河南万美工程管理有限公司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27.749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76.049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13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河南广建大道建设工程有限公司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25.195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73.235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14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河南乐泰建筑工程有限公司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22.083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68.123 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473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15 </w:t>
                  </w:r>
                </w:p>
              </w:tc>
              <w:tc>
                <w:tcPr>
                  <w:tcW w:w="2959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天然建工集团有限公司 </w:t>
                  </w:r>
                </w:p>
              </w:tc>
              <w:tc>
                <w:tcPr>
                  <w:tcW w:w="888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17.222 </w:t>
                  </w:r>
                </w:p>
              </w:tc>
              <w:tc>
                <w:tcPr>
                  <w:tcW w:w="680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 xml:space="preserve">65.262 </w:t>
                  </w:r>
                </w:p>
              </w:tc>
            </w:tr>
          </w:tbl>
          <w:p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八、公示时间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年</w:t>
            </w:r>
            <w:r>
              <w:rPr>
                <w:rFonts w:ascii="宋体" w:hAnsi="宋体" w:eastAsia="宋体" w:cs="宋体"/>
                <w:kern w:val="0"/>
                <w:szCs w:val="21"/>
              </w:rPr>
              <w:t>11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月</w:t>
            </w:r>
            <w:r>
              <w:rPr>
                <w:rFonts w:ascii="宋体" w:hAnsi="宋体" w:eastAsia="宋体" w:cs="宋体"/>
                <w:kern w:val="0"/>
                <w:szCs w:val="21"/>
              </w:rPr>
              <w:t>06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日至</w:t>
            </w:r>
            <w:r>
              <w:rPr>
                <w:rFonts w:ascii="宋体" w:hAnsi="宋体" w:eastAsia="宋体" w:cs="宋体"/>
                <w:kern w:val="0"/>
                <w:szCs w:val="21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年</w:t>
            </w:r>
            <w:r>
              <w:rPr>
                <w:rFonts w:ascii="宋体" w:hAnsi="宋体" w:eastAsia="宋体" w:cs="宋体"/>
                <w:kern w:val="0"/>
                <w:szCs w:val="21"/>
              </w:rPr>
              <w:t>11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月</w:t>
            </w:r>
            <w:r>
              <w:rPr>
                <w:rFonts w:ascii="宋体" w:hAnsi="宋体" w:eastAsia="宋体" w:cs="宋体"/>
                <w:kern w:val="0"/>
                <w:szCs w:val="21"/>
              </w:rPr>
              <w:t>09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日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九、招标文件规定公示的其他内容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无此项内容。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十、异议（投诉）受理部门及渠道</w:t>
            </w: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tbl>
            <w:tblPr>
              <w:tblStyle w:val="13"/>
              <w:tblW w:w="5000" w:type="pct"/>
              <w:tblCellSpacing w:w="0" w:type="dxa"/>
              <w:tblInd w:w="0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550"/>
              <w:gridCol w:w="1944"/>
              <w:gridCol w:w="6615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02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106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受理部门</w:t>
                  </w:r>
                </w:p>
              </w:tc>
              <w:tc>
                <w:tcPr>
                  <w:tcW w:w="363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受理渠道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02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106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招标人或招标代理机构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（异议受理）</w:t>
                  </w:r>
                </w:p>
              </w:tc>
              <w:tc>
                <w:tcPr>
                  <w:tcW w:w="363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单位名称：河南城市更新投资开发有限公司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单位地址：郑州市二七区侯寨乡侯寨村郑密公路北零二八公路西11-4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联 系 人：胡女士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电  话：13164328089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传  真：/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邮  箱：384316541@qq.com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02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1067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招标监督部门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（投诉受理）</w:t>
                  </w:r>
                </w:p>
              </w:tc>
              <w:tc>
                <w:tcPr>
                  <w:tcW w:w="3631" w:type="pct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监督部门：郑州市二七区住房和城乡建设局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办公地址：郑州市二七区淮河东路36号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电    话：0371-61313605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传    真：0371-61313605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邮    箱：</w:t>
                  </w: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eqqjgk@163.co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m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5000" w:type="pct"/>
                  <w:gridSpan w:val="3"/>
                  <w:tcBorders>
                    <w:top w:val="outset" w:color="auto" w:sz="6" w:space="0"/>
                    <w:left w:val="outset" w:color="auto" w:sz="6" w:space="0"/>
                    <w:bottom w:val="outset" w:color="auto" w:sz="6" w:space="0"/>
                    <w:right w:val="outset" w:color="auto" w:sz="6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备注：投标人或其他利害关系人对评标结果有异议的，可在公示期内向招标人或招标代理机构提出。公示期满对公示结果没有异议的，招标人将签发中标通知书。</w:t>
                  </w:r>
                </w:p>
              </w:tc>
            </w:tr>
          </w:tbl>
          <w:p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blCellSpacing w:w="15" w:type="dxa"/>
          <w:jc w:val="center"/>
        </w:trPr>
        <w:tc>
          <w:tcPr>
            <w:tcW w:w="4967" w:type="pct"/>
            <w:vAlign w:val="center"/>
          </w:tcPr>
          <w:p/>
          <w:tbl>
            <w:tblPr>
              <w:tblStyle w:val="13"/>
              <w:tblW w:w="5000" w:type="pct"/>
              <w:tblCellSpacing w:w="15" w:type="dxa"/>
              <w:tblInd w:w="0" w:type="dxa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9124"/>
            </w:tblGrid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4967" w:type="pct"/>
                  <w:vAlign w:val="center"/>
                </w:tcPr>
                <w:p>
                  <w:pPr>
                    <w:widowControl/>
                    <w:spacing w:line="360" w:lineRule="auto"/>
                    <w:jc w:val="right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招标人或招标代理机构：申鑫国际工程咨询有限公司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4967" w:type="pct"/>
                  <w:vAlign w:val="center"/>
                </w:tcPr>
                <w:p>
                  <w:pPr>
                    <w:widowControl/>
                    <w:spacing w:line="360" w:lineRule="auto"/>
                    <w:jc w:val="right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主要负责人或其授权的项目负责人：毛书成</w:t>
                  </w:r>
                </w:p>
              </w:tc>
            </w:tr>
            <w:tr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4967" w:type="pct"/>
                  <w:vAlign w:val="center"/>
                </w:tcPr>
                <w:p>
                  <w:pPr>
                    <w:widowControl/>
                    <w:spacing w:line="360" w:lineRule="auto"/>
                    <w:jc w:val="right"/>
                    <w:rPr>
                      <w:rFonts w:ascii="宋体" w:hAnsi="宋体" w:eastAsia="宋体" w:cs="宋体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    </w:t>
                  </w: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2026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年</w:t>
                  </w: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11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月</w:t>
                  </w:r>
                  <w:r>
                    <w:rPr>
                      <w:rFonts w:ascii="宋体" w:hAnsi="宋体" w:eastAsia="宋体" w:cs="宋体"/>
                      <w:kern w:val="0"/>
                      <w:szCs w:val="21"/>
                    </w:rPr>
                    <w:t>06</w:t>
                  </w: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</w:rPr>
                    <w:t>日</w:t>
                  </w:r>
                </w:p>
              </w:tc>
            </w:tr>
          </w:tbl>
          <w:p>
            <w:pPr>
              <w:widowControl/>
              <w:spacing w:line="360" w:lineRule="auto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>
      <w:pPr>
        <w:rPr>
          <w:rFonts w:ascii="宋体" w:hAnsi="宋体" w:eastAsia="宋体"/>
        </w:rPr>
      </w:pPr>
    </w:p>
    <w:bookmarkEnd w:id="0"/>
    <w:p>
      <w:pPr>
        <w:rPr>
          <w:rFonts w:ascii="宋体" w:hAnsi="宋体" w:eastAsia="宋体"/>
        </w:rPr>
      </w:pPr>
    </w:p>
    <w:sectPr>
      <w:pgSz w:w="11906" w:h="16838"/>
      <w:pgMar w:top="1418" w:right="1361" w:bottom="1418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2AF"/>
    <w:rsid w:val="00003AD4"/>
    <w:rsid w:val="00004F68"/>
    <w:rsid w:val="00005B0B"/>
    <w:rsid w:val="00011AEC"/>
    <w:rsid w:val="00051E52"/>
    <w:rsid w:val="0007166B"/>
    <w:rsid w:val="00086936"/>
    <w:rsid w:val="00097D4E"/>
    <w:rsid w:val="000B73E3"/>
    <w:rsid w:val="000C73A0"/>
    <w:rsid w:val="000E0A3B"/>
    <w:rsid w:val="000E1FB6"/>
    <w:rsid w:val="000F3BE7"/>
    <w:rsid w:val="00110577"/>
    <w:rsid w:val="00123D20"/>
    <w:rsid w:val="00124DAF"/>
    <w:rsid w:val="001372EA"/>
    <w:rsid w:val="00142611"/>
    <w:rsid w:val="001804A3"/>
    <w:rsid w:val="001813CA"/>
    <w:rsid w:val="00193BFC"/>
    <w:rsid w:val="00193E86"/>
    <w:rsid w:val="001A2174"/>
    <w:rsid w:val="001A2692"/>
    <w:rsid w:val="001C6957"/>
    <w:rsid w:val="001D1F43"/>
    <w:rsid w:val="001D3656"/>
    <w:rsid w:val="001E06B6"/>
    <w:rsid w:val="00215F54"/>
    <w:rsid w:val="002335A2"/>
    <w:rsid w:val="00235102"/>
    <w:rsid w:val="00236B76"/>
    <w:rsid w:val="002417FA"/>
    <w:rsid w:val="002503F6"/>
    <w:rsid w:val="00261030"/>
    <w:rsid w:val="00266DC8"/>
    <w:rsid w:val="002673E2"/>
    <w:rsid w:val="00280C53"/>
    <w:rsid w:val="002827E3"/>
    <w:rsid w:val="00290C38"/>
    <w:rsid w:val="0029741D"/>
    <w:rsid w:val="002A5AF1"/>
    <w:rsid w:val="002D03E6"/>
    <w:rsid w:val="002F0C0A"/>
    <w:rsid w:val="002F4B78"/>
    <w:rsid w:val="00314CE8"/>
    <w:rsid w:val="00324AF6"/>
    <w:rsid w:val="00332884"/>
    <w:rsid w:val="0035135E"/>
    <w:rsid w:val="003666C1"/>
    <w:rsid w:val="00370699"/>
    <w:rsid w:val="00372F71"/>
    <w:rsid w:val="00375697"/>
    <w:rsid w:val="003A1965"/>
    <w:rsid w:val="003A2995"/>
    <w:rsid w:val="003A72AF"/>
    <w:rsid w:val="003B32CC"/>
    <w:rsid w:val="0040669F"/>
    <w:rsid w:val="00410940"/>
    <w:rsid w:val="00411E4E"/>
    <w:rsid w:val="004222E0"/>
    <w:rsid w:val="0042568A"/>
    <w:rsid w:val="00444C04"/>
    <w:rsid w:val="00447B08"/>
    <w:rsid w:val="00461FC1"/>
    <w:rsid w:val="004719EA"/>
    <w:rsid w:val="00477351"/>
    <w:rsid w:val="004A1C44"/>
    <w:rsid w:val="004B3A17"/>
    <w:rsid w:val="004D416A"/>
    <w:rsid w:val="005001FD"/>
    <w:rsid w:val="0051784B"/>
    <w:rsid w:val="005361B4"/>
    <w:rsid w:val="00543682"/>
    <w:rsid w:val="00546404"/>
    <w:rsid w:val="00567835"/>
    <w:rsid w:val="0058027D"/>
    <w:rsid w:val="005A6A78"/>
    <w:rsid w:val="005B02F0"/>
    <w:rsid w:val="005B4932"/>
    <w:rsid w:val="005C2469"/>
    <w:rsid w:val="005E06D0"/>
    <w:rsid w:val="005E31A4"/>
    <w:rsid w:val="005E7A3D"/>
    <w:rsid w:val="005F58A2"/>
    <w:rsid w:val="005F73D3"/>
    <w:rsid w:val="00657867"/>
    <w:rsid w:val="006752BA"/>
    <w:rsid w:val="006A0C5B"/>
    <w:rsid w:val="006C05E7"/>
    <w:rsid w:val="006C5582"/>
    <w:rsid w:val="006C75C1"/>
    <w:rsid w:val="006C7AF3"/>
    <w:rsid w:val="006E7F79"/>
    <w:rsid w:val="006F03D6"/>
    <w:rsid w:val="006F2B69"/>
    <w:rsid w:val="00717247"/>
    <w:rsid w:val="00727094"/>
    <w:rsid w:val="00732354"/>
    <w:rsid w:val="007357A5"/>
    <w:rsid w:val="00736326"/>
    <w:rsid w:val="0074513C"/>
    <w:rsid w:val="007503BC"/>
    <w:rsid w:val="00761E9B"/>
    <w:rsid w:val="00765051"/>
    <w:rsid w:val="00793FF6"/>
    <w:rsid w:val="00795512"/>
    <w:rsid w:val="00796961"/>
    <w:rsid w:val="007A0C79"/>
    <w:rsid w:val="007B107B"/>
    <w:rsid w:val="007D7261"/>
    <w:rsid w:val="007E0992"/>
    <w:rsid w:val="007E4169"/>
    <w:rsid w:val="007E43D4"/>
    <w:rsid w:val="007F3172"/>
    <w:rsid w:val="007F5DAE"/>
    <w:rsid w:val="00805D34"/>
    <w:rsid w:val="008236F6"/>
    <w:rsid w:val="008513C2"/>
    <w:rsid w:val="00864389"/>
    <w:rsid w:val="00895C41"/>
    <w:rsid w:val="00895EF2"/>
    <w:rsid w:val="0089738D"/>
    <w:rsid w:val="008974A4"/>
    <w:rsid w:val="008A37D4"/>
    <w:rsid w:val="008C5863"/>
    <w:rsid w:val="008E11A0"/>
    <w:rsid w:val="00901832"/>
    <w:rsid w:val="00912D36"/>
    <w:rsid w:val="00954B67"/>
    <w:rsid w:val="00963E32"/>
    <w:rsid w:val="00973A0A"/>
    <w:rsid w:val="009946CB"/>
    <w:rsid w:val="009B0393"/>
    <w:rsid w:val="009C0944"/>
    <w:rsid w:val="009C2455"/>
    <w:rsid w:val="009C678D"/>
    <w:rsid w:val="009D5E76"/>
    <w:rsid w:val="009F7323"/>
    <w:rsid w:val="00A217E1"/>
    <w:rsid w:val="00A23788"/>
    <w:rsid w:val="00A26380"/>
    <w:rsid w:val="00A73A94"/>
    <w:rsid w:val="00A75F72"/>
    <w:rsid w:val="00A97A39"/>
    <w:rsid w:val="00AA1EE6"/>
    <w:rsid w:val="00AC3443"/>
    <w:rsid w:val="00B03E9D"/>
    <w:rsid w:val="00B06B32"/>
    <w:rsid w:val="00B155F8"/>
    <w:rsid w:val="00B45DEF"/>
    <w:rsid w:val="00B82A13"/>
    <w:rsid w:val="00B923EA"/>
    <w:rsid w:val="00B976E9"/>
    <w:rsid w:val="00BA2F4B"/>
    <w:rsid w:val="00BA5637"/>
    <w:rsid w:val="00BB2827"/>
    <w:rsid w:val="00BC3134"/>
    <w:rsid w:val="00BD4E79"/>
    <w:rsid w:val="00BE49E9"/>
    <w:rsid w:val="00BE7608"/>
    <w:rsid w:val="00BF4D61"/>
    <w:rsid w:val="00C02831"/>
    <w:rsid w:val="00C04474"/>
    <w:rsid w:val="00C36D14"/>
    <w:rsid w:val="00C40CA5"/>
    <w:rsid w:val="00C65E07"/>
    <w:rsid w:val="00C7276E"/>
    <w:rsid w:val="00C72D4E"/>
    <w:rsid w:val="00C778DA"/>
    <w:rsid w:val="00C80269"/>
    <w:rsid w:val="00C85DE7"/>
    <w:rsid w:val="00C916A5"/>
    <w:rsid w:val="00CA5188"/>
    <w:rsid w:val="00CB475C"/>
    <w:rsid w:val="00CD00DC"/>
    <w:rsid w:val="00CD38DE"/>
    <w:rsid w:val="00D02186"/>
    <w:rsid w:val="00D052E4"/>
    <w:rsid w:val="00D17EFE"/>
    <w:rsid w:val="00D21ECE"/>
    <w:rsid w:val="00D459BA"/>
    <w:rsid w:val="00D46E2C"/>
    <w:rsid w:val="00D644F5"/>
    <w:rsid w:val="00D64655"/>
    <w:rsid w:val="00D823B3"/>
    <w:rsid w:val="00D90548"/>
    <w:rsid w:val="00D912A6"/>
    <w:rsid w:val="00D9175A"/>
    <w:rsid w:val="00D9538D"/>
    <w:rsid w:val="00D966E1"/>
    <w:rsid w:val="00DA13BA"/>
    <w:rsid w:val="00DB40FC"/>
    <w:rsid w:val="00DB5D7E"/>
    <w:rsid w:val="00DE3294"/>
    <w:rsid w:val="00E06E1D"/>
    <w:rsid w:val="00E241C3"/>
    <w:rsid w:val="00E26309"/>
    <w:rsid w:val="00E3221A"/>
    <w:rsid w:val="00E501FA"/>
    <w:rsid w:val="00E85165"/>
    <w:rsid w:val="00E96217"/>
    <w:rsid w:val="00EA1E17"/>
    <w:rsid w:val="00EB53A6"/>
    <w:rsid w:val="00ED19BE"/>
    <w:rsid w:val="00EE0AEB"/>
    <w:rsid w:val="00EE6314"/>
    <w:rsid w:val="00F07E69"/>
    <w:rsid w:val="00F11EB0"/>
    <w:rsid w:val="00F31BE6"/>
    <w:rsid w:val="00F42066"/>
    <w:rsid w:val="00F426B7"/>
    <w:rsid w:val="00F84ABD"/>
    <w:rsid w:val="00F96667"/>
    <w:rsid w:val="00FA1050"/>
    <w:rsid w:val="00FB0DD7"/>
    <w:rsid w:val="00FC2105"/>
    <w:rsid w:val="00FD2C6B"/>
    <w:rsid w:val="00FE08B0"/>
    <w:rsid w:val="00FE6268"/>
    <w:rsid w:val="00FF07D0"/>
    <w:rsid w:val="00FF1DC7"/>
    <w:rsid w:val="00FF3AC1"/>
    <w:rsid w:val="00FF4430"/>
    <w:rsid w:val="00FF759E"/>
    <w:rsid w:val="3BC3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link w:val="2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link w:val="21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5">
    <w:name w:val="heading 4"/>
    <w:basedOn w:val="1"/>
    <w:link w:val="22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paragraph" w:styleId="6">
    <w:name w:val="heading 5"/>
    <w:basedOn w:val="1"/>
    <w:link w:val="23"/>
    <w:qFormat/>
    <w:uiPriority w:val="9"/>
    <w:pPr>
      <w:widowControl/>
      <w:spacing w:before="100" w:beforeAutospacing="1" w:after="100" w:afterAutospacing="1"/>
      <w:jc w:val="left"/>
      <w:outlineLvl w:val="4"/>
    </w:pPr>
    <w:rPr>
      <w:rFonts w:ascii="宋体" w:hAnsi="宋体" w:eastAsia="宋体" w:cs="宋体"/>
      <w:b/>
      <w:bCs/>
      <w:kern w:val="0"/>
      <w:sz w:val="20"/>
      <w:szCs w:val="20"/>
    </w:rPr>
  </w:style>
  <w:style w:type="paragraph" w:styleId="7">
    <w:name w:val="heading 6"/>
    <w:basedOn w:val="1"/>
    <w:link w:val="24"/>
    <w:qFormat/>
    <w:uiPriority w:val="9"/>
    <w:pPr>
      <w:widowControl/>
      <w:spacing w:before="100" w:beforeAutospacing="1" w:after="100" w:afterAutospacing="1"/>
      <w:jc w:val="left"/>
      <w:outlineLvl w:val="5"/>
    </w:pPr>
    <w:rPr>
      <w:rFonts w:ascii="宋体" w:hAnsi="宋体" w:eastAsia="宋体" w:cs="宋体"/>
      <w:b/>
      <w:bCs/>
      <w:kern w:val="0"/>
      <w:sz w:val="15"/>
      <w:szCs w:val="15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HTML Address"/>
    <w:basedOn w:val="1"/>
    <w:link w:val="25"/>
    <w:semiHidden/>
    <w:unhideWhenUsed/>
    <w:uiPriority w:val="99"/>
    <w:pPr>
      <w:widowControl/>
      <w:jc w:val="left"/>
    </w:pPr>
    <w:rPr>
      <w:rFonts w:ascii="宋体" w:hAnsi="宋体" w:eastAsia="宋体" w:cs="宋体"/>
      <w:i/>
      <w:iCs/>
      <w:kern w:val="0"/>
      <w:sz w:val="24"/>
      <w:szCs w:val="24"/>
    </w:rPr>
  </w:style>
  <w:style w:type="paragraph" w:styleId="9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HTML Preformatted"/>
    <w:basedOn w:val="1"/>
    <w:link w:val="26"/>
    <w:semiHidden/>
    <w:unhideWhenUs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5">
    <w:name w:val="Hyperlink"/>
    <w:basedOn w:val="1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眉 字符"/>
    <w:basedOn w:val="14"/>
    <w:link w:val="10"/>
    <w:uiPriority w:val="99"/>
    <w:rPr>
      <w:sz w:val="18"/>
      <w:szCs w:val="18"/>
    </w:rPr>
  </w:style>
  <w:style w:type="character" w:customStyle="1" w:styleId="17">
    <w:name w:val="页脚 字符"/>
    <w:basedOn w:val="14"/>
    <w:link w:val="9"/>
    <w:uiPriority w:val="99"/>
    <w:rPr>
      <w:sz w:val="18"/>
      <w:szCs w:val="18"/>
    </w:rPr>
  </w:style>
  <w:style w:type="character" w:customStyle="1" w:styleId="18">
    <w:name w:val="Unresolved Mention"/>
    <w:basedOn w:val="14"/>
    <w:semiHidden/>
    <w:unhideWhenUsed/>
    <w:uiPriority w:val="99"/>
    <w:rPr>
      <w:color w:val="605E5C"/>
      <w:shd w:val="clear" w:color="auto" w:fill="E1DFDD"/>
    </w:rPr>
  </w:style>
  <w:style w:type="character" w:customStyle="1" w:styleId="19">
    <w:name w:val="标题 1 字符"/>
    <w:basedOn w:val="14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14"/>
    <w:link w:val="3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1">
    <w:name w:val="标题 3 字符"/>
    <w:basedOn w:val="14"/>
    <w:link w:val="4"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22">
    <w:name w:val="标题 4 字符"/>
    <w:basedOn w:val="14"/>
    <w:link w:val="5"/>
    <w:autoRedefine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3">
    <w:name w:val="标题 5 字符"/>
    <w:basedOn w:val="14"/>
    <w:link w:val="6"/>
    <w:uiPriority w:val="9"/>
    <w:rPr>
      <w:rFonts w:ascii="宋体" w:hAnsi="宋体" w:eastAsia="宋体" w:cs="宋体"/>
      <w:b/>
      <w:bCs/>
      <w:kern w:val="0"/>
      <w:sz w:val="20"/>
      <w:szCs w:val="20"/>
    </w:rPr>
  </w:style>
  <w:style w:type="character" w:customStyle="1" w:styleId="24">
    <w:name w:val="标题 6 字符"/>
    <w:basedOn w:val="14"/>
    <w:link w:val="7"/>
    <w:uiPriority w:val="9"/>
    <w:rPr>
      <w:rFonts w:ascii="宋体" w:hAnsi="宋体" w:eastAsia="宋体" w:cs="宋体"/>
      <w:b/>
      <w:bCs/>
      <w:kern w:val="0"/>
      <w:sz w:val="15"/>
      <w:szCs w:val="15"/>
    </w:rPr>
  </w:style>
  <w:style w:type="character" w:customStyle="1" w:styleId="25">
    <w:name w:val="HTML 地址 字符"/>
    <w:basedOn w:val="14"/>
    <w:link w:val="8"/>
    <w:semiHidden/>
    <w:uiPriority w:val="99"/>
    <w:rPr>
      <w:rFonts w:ascii="宋体" w:hAnsi="宋体" w:eastAsia="宋体" w:cs="宋体"/>
      <w:i/>
      <w:iCs/>
      <w:kern w:val="0"/>
      <w:sz w:val="24"/>
      <w:szCs w:val="24"/>
    </w:rPr>
  </w:style>
  <w:style w:type="character" w:customStyle="1" w:styleId="26">
    <w:name w:val="HTML 预设格式 字符"/>
    <w:basedOn w:val="14"/>
    <w:link w:val="11"/>
    <w:semiHidden/>
    <w:uiPriority w:val="99"/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msonormal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ewebeditor__script"/>
    <w:basedOn w:val="1"/>
    <w:autoRedefine/>
    <w:qFormat/>
    <w:uiPriority w:val="0"/>
    <w:pPr>
      <w:widowControl/>
      <w:pBdr>
        <w:top w:val="dotted" w:color="0000FF" w:sz="6" w:space="0"/>
        <w:left w:val="dotted" w:color="0000FF" w:sz="6" w:space="0"/>
        <w:bottom w:val="dotted" w:color="0000FF" w:sz="6" w:space="0"/>
        <w:right w:val="dotted" w:color="0000FF" w:sz="6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ewebeditor__style"/>
    <w:basedOn w:val="1"/>
    <w:autoRedefine/>
    <w:qFormat/>
    <w:uiPriority w:val="0"/>
    <w:pPr>
      <w:widowControl/>
      <w:pBdr>
        <w:top w:val="dotted" w:color="0000FF" w:sz="6" w:space="0"/>
        <w:left w:val="dotted" w:color="0000FF" w:sz="6" w:space="0"/>
        <w:bottom w:val="dotted" w:color="0000FF" w:sz="6" w:space="0"/>
        <w:right w:val="dotted" w:color="0000FF" w:sz="6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ewebeditor__noscript"/>
    <w:basedOn w:val="1"/>
    <w:uiPriority w:val="0"/>
    <w:pPr>
      <w:widowControl/>
      <w:pBdr>
        <w:top w:val="dotted" w:color="0000FF" w:sz="6" w:space="0"/>
        <w:left w:val="dotted" w:color="0000FF" w:sz="6" w:space="0"/>
        <w:bottom w:val="dotted" w:color="0000FF" w:sz="6" w:space="0"/>
        <w:right w:val="dotted" w:color="0000FF" w:sz="6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ewebeditor__comment"/>
    <w:basedOn w:val="1"/>
    <w:autoRedefine/>
    <w:qFormat/>
    <w:uiPriority w:val="0"/>
    <w:pPr>
      <w:widowControl/>
      <w:pBdr>
        <w:top w:val="dotted" w:color="0000FF" w:sz="6" w:space="0"/>
        <w:left w:val="dotted" w:color="0000FF" w:sz="6" w:space="0"/>
        <w:bottom w:val="dotted" w:color="0000FF" w:sz="6" w:space="0"/>
        <w:right w:val="dotted" w:color="0000FF" w:sz="6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2">
    <w:name w:val="ewebeditor__flash"/>
    <w:basedOn w:val="1"/>
    <w:uiPriority w:val="0"/>
    <w:pPr>
      <w:widowControl/>
      <w:pBdr>
        <w:top w:val="single" w:color="A9A9A9" w:sz="6" w:space="0"/>
        <w:left w:val="single" w:color="A9A9A9" w:sz="6" w:space="0"/>
        <w:bottom w:val="single" w:color="A9A9A9" w:sz="6" w:space="0"/>
        <w:right w:val="single" w:color="A9A9A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3">
    <w:name w:val="ewebeditor__unknownobject"/>
    <w:basedOn w:val="1"/>
    <w:uiPriority w:val="0"/>
    <w:pPr>
      <w:widowControl/>
      <w:pBdr>
        <w:top w:val="single" w:color="A9A9A9" w:sz="6" w:space="0"/>
        <w:left w:val="single" w:color="A9A9A9" w:sz="6" w:space="0"/>
        <w:bottom w:val="single" w:color="A9A9A9" w:sz="6" w:space="0"/>
        <w:right w:val="single" w:color="A9A9A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ewebeditor__mediaplayer6"/>
    <w:basedOn w:val="1"/>
    <w:uiPriority w:val="0"/>
    <w:pPr>
      <w:widowControl/>
      <w:pBdr>
        <w:top w:val="single" w:color="A9A9A9" w:sz="6" w:space="0"/>
        <w:left w:val="single" w:color="A9A9A9" w:sz="6" w:space="0"/>
        <w:bottom w:val="single" w:color="A9A9A9" w:sz="6" w:space="0"/>
        <w:right w:val="single" w:color="A9A9A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ewebeditor__mediaplayer7"/>
    <w:basedOn w:val="1"/>
    <w:uiPriority w:val="0"/>
    <w:pPr>
      <w:widowControl/>
      <w:pBdr>
        <w:top w:val="single" w:color="A9A9A9" w:sz="6" w:space="0"/>
        <w:left w:val="single" w:color="A9A9A9" w:sz="6" w:space="0"/>
        <w:bottom w:val="single" w:color="A9A9A9" w:sz="6" w:space="0"/>
        <w:right w:val="single" w:color="A9A9A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ewebeditor__flv"/>
    <w:basedOn w:val="1"/>
    <w:uiPriority w:val="0"/>
    <w:pPr>
      <w:widowControl/>
      <w:pBdr>
        <w:top w:val="single" w:color="A9A9A9" w:sz="6" w:space="0"/>
        <w:left w:val="single" w:color="A9A9A9" w:sz="6" w:space="0"/>
        <w:bottom w:val="single" w:color="A9A9A9" w:sz="6" w:space="0"/>
        <w:right w:val="single" w:color="A9A9A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7">
    <w:name w:val="ewebeditor__realplayer"/>
    <w:basedOn w:val="1"/>
    <w:uiPriority w:val="0"/>
    <w:pPr>
      <w:widowControl/>
      <w:pBdr>
        <w:top w:val="single" w:color="A9A9A9" w:sz="6" w:space="0"/>
        <w:left w:val="single" w:color="A9A9A9" w:sz="6" w:space="0"/>
        <w:bottom w:val="single" w:color="A9A9A9" w:sz="6" w:space="0"/>
        <w:right w:val="single" w:color="A9A9A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ewebeditor__quicktime"/>
    <w:basedOn w:val="1"/>
    <w:uiPriority w:val="0"/>
    <w:pPr>
      <w:widowControl/>
      <w:pBdr>
        <w:top w:val="single" w:color="A9A9A9" w:sz="6" w:space="0"/>
        <w:left w:val="single" w:color="A9A9A9" w:sz="6" w:space="0"/>
        <w:bottom w:val="single" w:color="A9A9A9" w:sz="6" w:space="0"/>
        <w:right w:val="single" w:color="A9A9A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9">
    <w:name w:val="ewebeditor__vlc"/>
    <w:basedOn w:val="1"/>
    <w:uiPriority w:val="0"/>
    <w:pPr>
      <w:widowControl/>
      <w:pBdr>
        <w:top w:val="single" w:color="A9A9A9" w:sz="6" w:space="0"/>
        <w:left w:val="single" w:color="A9A9A9" w:sz="6" w:space="0"/>
        <w:bottom w:val="single" w:color="A9A9A9" w:sz="6" w:space="0"/>
        <w:right w:val="single" w:color="A9A9A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0">
    <w:name w:val="ewebeditor__video"/>
    <w:basedOn w:val="1"/>
    <w:uiPriority w:val="0"/>
    <w:pPr>
      <w:widowControl/>
      <w:pBdr>
        <w:top w:val="single" w:color="A9A9A9" w:sz="6" w:space="0"/>
        <w:left w:val="single" w:color="A9A9A9" w:sz="6" w:space="0"/>
        <w:bottom w:val="single" w:color="A9A9A9" w:sz="6" w:space="0"/>
        <w:right w:val="single" w:color="A9A9A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1">
    <w:name w:val="ewebeditor__audio"/>
    <w:basedOn w:val="1"/>
    <w:uiPriority w:val="0"/>
    <w:pPr>
      <w:widowControl/>
      <w:pBdr>
        <w:top w:val="single" w:color="A9A9A9" w:sz="6" w:space="0"/>
        <w:left w:val="single" w:color="A9A9A9" w:sz="6" w:space="0"/>
        <w:bottom w:val="single" w:color="A9A9A9" w:sz="6" w:space="0"/>
        <w:right w:val="single" w:color="A9A9A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2">
    <w:name w:val="ewebeditor__anchor"/>
    <w:basedOn w:val="1"/>
    <w:uiPriority w:val="0"/>
    <w:pPr>
      <w:widowControl/>
      <w:pBdr>
        <w:top w:val="dotted" w:color="0000FF" w:sz="6" w:space="0"/>
        <w:left w:val="dotted" w:color="0000FF" w:sz="6" w:space="0"/>
        <w:bottom w:val="dotted" w:color="0000FF" w:sz="6" w:space="0"/>
        <w:right w:val="dotted" w:color="0000FF" w:sz="6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3">
    <w:name w:val="ewebeditor__anchorc"/>
    <w:basedOn w:val="1"/>
    <w:uiPriority w:val="0"/>
    <w:pPr>
      <w:widowControl/>
      <w:pBdr>
        <w:top w:val="dotted" w:color="0000FF" w:sz="6" w:space="0"/>
        <w:left w:val="dotted" w:color="0000FF" w:sz="6" w:space="14"/>
        <w:bottom w:val="dotted" w:color="0000FF" w:sz="6" w:space="0"/>
        <w:right w:val="dotted" w:color="0000FF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4">
    <w:name w:val="ewebeditor__pagination"/>
    <w:basedOn w:val="1"/>
    <w:uiPriority w:val="0"/>
    <w:pPr>
      <w:widowControl/>
      <w:pBdr>
        <w:top w:val="dotted" w:color="999999" w:sz="6" w:space="0"/>
        <w:bottom w:val="dotted" w:color="999999" w:sz="6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5">
    <w:name w:val="ewebeditor__inputhidden"/>
    <w:basedOn w:val="1"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849</Words>
  <Characters>4843</Characters>
  <Lines>40</Lines>
  <Paragraphs>11</Paragraphs>
  <TotalTime>435</TotalTime>
  <ScaleCrop>false</ScaleCrop>
  <LinksUpToDate>false</LinksUpToDate>
  <CharactersWithSpaces>5681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2025-06-05T09:24:00Z</dcterms:created>
  <dc:creator>Administrator</dc:creator>
  <cp:lastModifiedBy>刘丽娜</cp:lastModifiedBy>
  <dcterms:modified xsi:type="dcterms:W3CDTF">2026-11-06T10:18:18Z</dcterms:modified>
  <cp:revision>292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1EDAF52F3C3C418E9B3866F6A0852415_13</vt:lpwstr>
  </property>
</Properties>
</file>